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66B62" w14:textId="47415F5A" w:rsidR="001C05E9" w:rsidRPr="00CE3BC2" w:rsidRDefault="00717F29" w:rsidP="00116A8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CE3BC2">
        <w:rPr>
          <w:rFonts w:asciiTheme="minorHAnsi" w:hAnsiTheme="minorHAnsi" w:cstheme="minorHAnsi"/>
          <w:b/>
          <w:sz w:val="20"/>
          <w:szCs w:val="20"/>
        </w:rPr>
        <w:t xml:space="preserve">Załącznik nr </w:t>
      </w:r>
      <w:r w:rsidR="00F16418">
        <w:rPr>
          <w:rFonts w:asciiTheme="minorHAnsi" w:hAnsiTheme="minorHAnsi" w:cstheme="minorHAnsi"/>
          <w:b/>
          <w:sz w:val="20"/>
          <w:szCs w:val="20"/>
        </w:rPr>
        <w:t>3a</w:t>
      </w:r>
      <w:r w:rsidR="00485E67" w:rsidRPr="00CE3BC2">
        <w:rPr>
          <w:rFonts w:asciiTheme="minorHAnsi" w:hAnsiTheme="minorHAnsi" w:cstheme="minorHAnsi"/>
          <w:b/>
          <w:sz w:val="20"/>
          <w:szCs w:val="20"/>
        </w:rPr>
        <w:t xml:space="preserve"> do </w:t>
      </w:r>
      <w:r w:rsidR="00F16418">
        <w:rPr>
          <w:rFonts w:asciiTheme="minorHAnsi" w:hAnsiTheme="minorHAnsi" w:cstheme="minorHAnsi"/>
          <w:b/>
          <w:sz w:val="20"/>
          <w:szCs w:val="20"/>
        </w:rPr>
        <w:t>Regulaminu</w:t>
      </w:r>
      <w:r w:rsidR="00485E67" w:rsidRPr="00CE3BC2">
        <w:rPr>
          <w:rFonts w:asciiTheme="minorHAnsi" w:hAnsiTheme="minorHAnsi" w:cstheme="minorHAnsi"/>
          <w:b/>
          <w:sz w:val="20"/>
          <w:szCs w:val="20"/>
        </w:rPr>
        <w:t xml:space="preserve"> nabor</w:t>
      </w:r>
      <w:r w:rsidR="00F16418">
        <w:rPr>
          <w:rFonts w:asciiTheme="minorHAnsi" w:hAnsiTheme="minorHAnsi" w:cstheme="minorHAnsi"/>
          <w:b/>
          <w:sz w:val="20"/>
          <w:szCs w:val="20"/>
        </w:rPr>
        <w:t>u</w:t>
      </w:r>
    </w:p>
    <w:p w14:paraId="05824C92" w14:textId="4EC55C99" w:rsidR="0078271A" w:rsidRPr="00CE3BC2" w:rsidRDefault="00762A09" w:rsidP="00116A85">
      <w:pPr>
        <w:pStyle w:val="NormalnyWeb"/>
        <w:spacing w:before="0" w:beforeAutospacing="0" w:after="0"/>
        <w:jc w:val="right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Rozwój </w:t>
      </w:r>
      <w:r w:rsidR="00945C4A">
        <w:rPr>
          <w:rFonts w:asciiTheme="minorHAnsi" w:hAnsiTheme="minorHAnsi" w:cstheme="minorHAnsi"/>
          <w:b/>
          <w:sz w:val="20"/>
          <w:szCs w:val="20"/>
        </w:rPr>
        <w:t>pozarolniczej działalności gospodarczej, w tym gospodarstw agroturystycznych</w:t>
      </w:r>
    </w:p>
    <w:p w14:paraId="72C038D4" w14:textId="77777777" w:rsidR="001C05E9" w:rsidRPr="00CE3BC2" w:rsidRDefault="001C05E9" w:rsidP="001C05E9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3BC2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……………………………………………………. </w:t>
      </w:r>
      <w:r w:rsidRPr="00CE3BC2">
        <w:rPr>
          <w:rFonts w:asciiTheme="minorHAnsi" w:hAnsiTheme="minorHAnsi" w:cstheme="minorHAnsi"/>
          <w:sz w:val="20"/>
          <w:szCs w:val="20"/>
        </w:rPr>
        <w:tab/>
      </w:r>
      <w:r w:rsidRPr="00CE3BC2">
        <w:rPr>
          <w:rFonts w:asciiTheme="minorHAnsi" w:hAnsiTheme="minorHAnsi" w:cstheme="minorHAnsi"/>
          <w:sz w:val="20"/>
          <w:szCs w:val="20"/>
        </w:rPr>
        <w:tab/>
      </w:r>
    </w:p>
    <w:p w14:paraId="53511B45" w14:textId="77777777" w:rsidR="001C05E9" w:rsidRPr="00CE3BC2" w:rsidRDefault="001E3E23" w:rsidP="001C05E9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3BC2">
        <w:rPr>
          <w:rFonts w:asciiTheme="minorHAnsi" w:hAnsiTheme="minorHAnsi" w:cstheme="minorHAnsi"/>
          <w:sz w:val="20"/>
          <w:szCs w:val="20"/>
        </w:rPr>
        <w:t>Imię i nazwisko/n</w:t>
      </w:r>
      <w:r w:rsidR="001C05E9" w:rsidRPr="00CE3BC2">
        <w:rPr>
          <w:rFonts w:asciiTheme="minorHAnsi" w:hAnsiTheme="minorHAnsi" w:cstheme="minorHAnsi"/>
          <w:sz w:val="20"/>
          <w:szCs w:val="20"/>
        </w:rPr>
        <w:t>azwa</w:t>
      </w:r>
      <w:r w:rsidRPr="00CE3BC2">
        <w:rPr>
          <w:rFonts w:asciiTheme="minorHAnsi" w:hAnsiTheme="minorHAnsi" w:cstheme="minorHAnsi"/>
          <w:sz w:val="20"/>
          <w:szCs w:val="20"/>
        </w:rPr>
        <w:t xml:space="preserve"> wnioskodawcy</w:t>
      </w:r>
    </w:p>
    <w:p w14:paraId="69900273" w14:textId="77777777" w:rsidR="001C05E9" w:rsidRPr="00CE3BC2" w:rsidRDefault="001C05E9" w:rsidP="001C05E9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3BC2">
        <w:rPr>
          <w:rFonts w:asciiTheme="minorHAnsi" w:hAnsiTheme="minorHAnsi" w:cstheme="minorHAnsi"/>
        </w:rPr>
        <w:br/>
        <w:t>……………………………………………</w:t>
      </w:r>
    </w:p>
    <w:p w14:paraId="54BAF48E" w14:textId="77777777" w:rsidR="001C05E9" w:rsidRPr="00CE3BC2" w:rsidRDefault="001C05E9" w:rsidP="001C05E9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3BC2">
        <w:rPr>
          <w:rFonts w:asciiTheme="minorHAnsi" w:hAnsiTheme="minorHAnsi" w:cstheme="minorHAnsi"/>
          <w:sz w:val="20"/>
          <w:szCs w:val="20"/>
        </w:rPr>
        <w:t>Adres zamieszkania/siedziby</w:t>
      </w:r>
      <w:r w:rsidR="003B3D5C" w:rsidRPr="00CE3BC2">
        <w:rPr>
          <w:rFonts w:asciiTheme="minorHAnsi" w:hAnsiTheme="minorHAnsi" w:cstheme="minorHAnsi"/>
          <w:sz w:val="20"/>
          <w:szCs w:val="20"/>
        </w:rPr>
        <w:t>/oddziału</w:t>
      </w:r>
    </w:p>
    <w:p w14:paraId="2344D251" w14:textId="77777777" w:rsidR="00021EA7" w:rsidRPr="00CE3BC2" w:rsidRDefault="00021EA7" w:rsidP="001C05E9">
      <w:pPr>
        <w:pStyle w:val="NormalnyWeb"/>
        <w:spacing w:before="0" w:beforeAutospacing="0" w:after="0"/>
        <w:rPr>
          <w:rFonts w:asciiTheme="minorHAnsi" w:hAnsiTheme="minorHAnsi" w:cstheme="minorHAnsi"/>
        </w:rPr>
      </w:pPr>
    </w:p>
    <w:p w14:paraId="22452207" w14:textId="77777777" w:rsidR="00021EA7" w:rsidRPr="00CE3BC2" w:rsidRDefault="00021EA7" w:rsidP="00021EA7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CE3BC2">
        <w:rPr>
          <w:rFonts w:asciiTheme="minorHAnsi" w:hAnsiTheme="minorHAnsi" w:cstheme="minorHAnsi"/>
        </w:rPr>
        <w:t>……………………………………………</w:t>
      </w:r>
    </w:p>
    <w:p w14:paraId="51372DA6" w14:textId="77777777" w:rsidR="00116A85" w:rsidRPr="00CE3BC2" w:rsidRDefault="00C208B8" w:rsidP="00C208B8">
      <w:pPr>
        <w:pStyle w:val="NormalnyWeb"/>
        <w:spacing w:before="0" w:beforeAutospacing="0" w:after="0"/>
        <w:rPr>
          <w:rFonts w:asciiTheme="minorHAnsi" w:hAnsiTheme="minorHAnsi" w:cstheme="minorHAnsi"/>
          <w:sz w:val="20"/>
          <w:szCs w:val="20"/>
        </w:rPr>
      </w:pPr>
      <w:r w:rsidRPr="00CE3BC2">
        <w:rPr>
          <w:rFonts w:asciiTheme="minorHAnsi" w:hAnsiTheme="minorHAnsi" w:cstheme="minorHAnsi"/>
          <w:sz w:val="20"/>
          <w:szCs w:val="20"/>
        </w:rPr>
        <w:t>Tytuł operacj</w:t>
      </w:r>
      <w:r w:rsidR="00A4197A" w:rsidRPr="00CE3BC2">
        <w:rPr>
          <w:rFonts w:asciiTheme="minorHAnsi" w:hAnsiTheme="minorHAnsi" w:cstheme="minorHAnsi"/>
          <w:sz w:val="20"/>
          <w:szCs w:val="20"/>
        </w:rPr>
        <w:t>i</w:t>
      </w:r>
    </w:p>
    <w:p w14:paraId="4CDF219B" w14:textId="77777777" w:rsidR="003B3D5C" w:rsidRPr="00CE3BC2" w:rsidRDefault="003B3D5C" w:rsidP="00762A09">
      <w:pPr>
        <w:jc w:val="center"/>
        <w:rPr>
          <w:rFonts w:cstheme="minorHAnsi"/>
          <w:b/>
        </w:rPr>
      </w:pPr>
      <w:r w:rsidRPr="00CE3BC2">
        <w:rPr>
          <w:rFonts w:cstheme="minorHAnsi"/>
          <w:b/>
        </w:rPr>
        <w:t xml:space="preserve">UZASADNIENIE </w:t>
      </w:r>
      <w:r w:rsidR="00096121" w:rsidRPr="00CE3BC2">
        <w:rPr>
          <w:rFonts w:cstheme="minorHAnsi"/>
          <w:b/>
        </w:rPr>
        <w:t>SPEŁNIENIA KRYTERIUM</w:t>
      </w:r>
    </w:p>
    <w:tbl>
      <w:tblPr>
        <w:tblpPr w:leftFromText="141" w:rightFromText="141" w:vertAnchor="text" w:horzAnchor="page" w:tblpXSpec="center" w:tblpY="141"/>
        <w:tblW w:w="14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905"/>
        <w:gridCol w:w="8222"/>
      </w:tblGrid>
      <w:tr w:rsidR="0052383E" w:rsidRPr="00CE3BC2" w14:paraId="572E4B33" w14:textId="77777777" w:rsidTr="00914DB9">
        <w:trPr>
          <w:trHeight w:val="841"/>
        </w:trPr>
        <w:tc>
          <w:tcPr>
            <w:tcW w:w="567" w:type="dxa"/>
            <w:shd w:val="clear" w:color="auto" w:fill="D9D9D9"/>
            <w:vAlign w:val="center"/>
          </w:tcPr>
          <w:p w14:paraId="27190B28" w14:textId="77777777" w:rsidR="0052383E" w:rsidRPr="00CE3BC2" w:rsidRDefault="0052383E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Lp.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06CDBAD4" w14:textId="77777777" w:rsidR="0052383E" w:rsidRPr="00CE3BC2" w:rsidRDefault="0052383E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Kryteri</w:t>
            </w:r>
            <w:r w:rsidR="008D7B2F" w:rsidRPr="00CE3BC2">
              <w:rPr>
                <w:rFonts w:eastAsia="Calibri" w:cstheme="minorHAnsi"/>
                <w:b/>
              </w:rPr>
              <w:t>um</w:t>
            </w:r>
          </w:p>
        </w:tc>
        <w:tc>
          <w:tcPr>
            <w:tcW w:w="3905" w:type="dxa"/>
            <w:shd w:val="clear" w:color="auto" w:fill="D9D9D9"/>
            <w:vAlign w:val="center"/>
          </w:tcPr>
          <w:p w14:paraId="1D84FA76" w14:textId="77777777" w:rsidR="0052383E" w:rsidRPr="00CE3BC2" w:rsidRDefault="0052383E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Definicja kryterium</w:t>
            </w:r>
          </w:p>
        </w:tc>
        <w:tc>
          <w:tcPr>
            <w:tcW w:w="8222" w:type="dxa"/>
            <w:shd w:val="clear" w:color="auto" w:fill="D9D9D9"/>
            <w:vAlign w:val="center"/>
          </w:tcPr>
          <w:p w14:paraId="11893120" w14:textId="77777777" w:rsidR="0052383E" w:rsidRPr="00CE3BC2" w:rsidRDefault="00CD0FDF" w:rsidP="00914DB9">
            <w:pPr>
              <w:spacing w:line="240" w:lineRule="auto"/>
              <w:jc w:val="center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  <w:b/>
              </w:rPr>
              <w:t>Uzasadnienie spełnienia wybranego kryterium /wypełnia wnioskodawca/</w:t>
            </w:r>
          </w:p>
        </w:tc>
      </w:tr>
      <w:tr w:rsidR="00945C4A" w:rsidRPr="00CE3BC2" w14:paraId="720DE0A8" w14:textId="77777777" w:rsidTr="002801A8">
        <w:trPr>
          <w:trHeight w:val="1062"/>
        </w:trPr>
        <w:tc>
          <w:tcPr>
            <w:tcW w:w="567" w:type="dxa"/>
            <w:shd w:val="clear" w:color="auto" w:fill="auto"/>
          </w:tcPr>
          <w:p w14:paraId="7311ADEC" w14:textId="0BCFE68A" w:rsidR="00945C4A" w:rsidRPr="00CE3BC2" w:rsidRDefault="00945C4A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14:paraId="084A2E40" w14:textId="36F3A2AA" w:rsidR="00945C4A" w:rsidRPr="00CE3BC2" w:rsidRDefault="00945C4A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>Racjonalne gospodarowanie zasobami lub ograniczanie presji na środowisko</w:t>
            </w:r>
          </w:p>
        </w:tc>
        <w:tc>
          <w:tcPr>
            <w:tcW w:w="3905" w:type="dxa"/>
          </w:tcPr>
          <w:p w14:paraId="2E842420" w14:textId="216EC00E" w:rsidR="00945C4A" w:rsidRPr="00945C4A" w:rsidRDefault="00945C4A" w:rsidP="00945C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 xml:space="preserve">Kryterium będzie uznane za spełnione, jeśli projekt zakłada co najmniej 20 % kosztów </w:t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(w odniesieniu do całego projektu) ale nie więcej niż 50 % musi być przeznaczone na realizację zadań związanych z zastosowaniem rozwiązań sprzyjających ochronie środowiska lub przeciwdziałających zmianom klimatu. </w:t>
            </w:r>
          </w:p>
          <w:p w14:paraId="1E6AAF6D" w14:textId="77777777" w:rsidR="00945C4A" w:rsidRPr="00945C4A" w:rsidRDefault="00945C4A" w:rsidP="00945C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 xml:space="preserve">Za działania mające wpływ na ochronę środowiska i/lub przeciwdziałające zmianom klimatu uznaje się m.in. inwestycje w : </w:t>
            </w:r>
          </w:p>
          <w:p w14:paraId="7DD8AD3B" w14:textId="08925D30" w:rsidR="00945C4A" w:rsidRPr="00945C4A" w:rsidRDefault="00945C4A" w:rsidP="00945C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instalacje wykorzystujące odnawialne źródła energii, </w:t>
            </w:r>
          </w:p>
          <w:p w14:paraId="7C7A98F5" w14:textId="110F649B" w:rsidR="00945C4A" w:rsidRPr="00945C4A" w:rsidRDefault="00945C4A" w:rsidP="00945C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instalacje wykorzystujące energię słońca (np. kolektory słoneczne, fotowoltaika), </w:t>
            </w:r>
          </w:p>
          <w:p w14:paraId="064AD7D5" w14:textId="2C9FB30D" w:rsidR="00945C4A" w:rsidRPr="00945C4A" w:rsidRDefault="00945C4A" w:rsidP="00945C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jednostki wykorzystujące energię geotermalną, pompy ciepła, </w:t>
            </w:r>
          </w:p>
          <w:p w14:paraId="0046BE5B" w14:textId="1E86164C" w:rsidR="00945C4A" w:rsidRPr="00945C4A" w:rsidRDefault="00945C4A" w:rsidP="00945C4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małe elektrownie wodne, elektrownie wiatrowe, </w:t>
            </w:r>
          </w:p>
          <w:p w14:paraId="20DCF5F0" w14:textId="1A79F88F" w:rsidR="00945C4A" w:rsidRPr="00CE3BC2" w:rsidRDefault="00945C4A" w:rsidP="0016420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945C4A">
              <w:rPr>
                <w:rFonts w:eastAsia="Calibri" w:cstheme="minorHAnsi"/>
                <w:sz w:val="20"/>
                <w:szCs w:val="20"/>
              </w:rPr>
              <w:t>-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instalacje wykorzysujące biomasę lub biogaz. Inwestycje związane z poprawą utrzymania ciepła w budynku (izolacja termiczna budynku, wymiana okien na </w:t>
            </w:r>
            <w:r w:rsidRPr="00945C4A">
              <w:rPr>
                <w:rFonts w:eastAsia="Calibri" w:cstheme="minorHAnsi"/>
                <w:sz w:val="20"/>
                <w:szCs w:val="20"/>
              </w:rPr>
              <w:lastRenderedPageBreak/>
              <w:t xml:space="preserve">energooszczędne). Budowa/ rozbudowa budynków niskoenergetycznych (tzw. pasywnych, zero energetycznych). Likwidacja pieców i palenisk węglowych na rzecz nowoczesnych technologii niskoemisyjnych (np. kolektory słoneczne, pompy ciepła, mikro wiatraki przydomowe, źródła ciepła na biomasę, paliwa gazowe, paliwa stałe </w:t>
            </w:r>
            <w:r>
              <w:rPr>
                <w:rFonts w:eastAsia="Calibri" w:cstheme="minorHAnsi"/>
                <w:sz w:val="20"/>
                <w:szCs w:val="20"/>
              </w:rPr>
              <w:br/>
            </w:r>
            <w:r w:rsidRPr="00945C4A">
              <w:rPr>
                <w:rFonts w:eastAsia="Calibri" w:cstheme="minorHAnsi"/>
                <w:sz w:val="20"/>
                <w:szCs w:val="20"/>
              </w:rPr>
              <w:t xml:space="preserve">z kotłami minimum 5 generacji). </w:t>
            </w:r>
          </w:p>
        </w:tc>
        <w:tc>
          <w:tcPr>
            <w:tcW w:w="8222" w:type="dxa"/>
            <w:shd w:val="clear" w:color="auto" w:fill="auto"/>
          </w:tcPr>
          <w:p w14:paraId="57D3C3DD" w14:textId="77777777" w:rsidR="00945C4A" w:rsidRPr="00CE3BC2" w:rsidRDefault="00945C4A" w:rsidP="002801A8">
            <w:pPr>
              <w:spacing w:after="0" w:line="240" w:lineRule="auto"/>
              <w:ind w:right="1216"/>
              <w:rPr>
                <w:rFonts w:eastAsia="Calibri" w:cstheme="minorHAnsi"/>
                <w:b/>
              </w:rPr>
            </w:pPr>
          </w:p>
        </w:tc>
      </w:tr>
      <w:tr w:rsidR="00CD0FDF" w:rsidRPr="00CE3BC2" w14:paraId="01FC5E47" w14:textId="77777777" w:rsidTr="002801A8">
        <w:trPr>
          <w:trHeight w:val="1062"/>
        </w:trPr>
        <w:tc>
          <w:tcPr>
            <w:tcW w:w="567" w:type="dxa"/>
            <w:shd w:val="clear" w:color="auto" w:fill="auto"/>
          </w:tcPr>
          <w:p w14:paraId="2607D4AC" w14:textId="23443370" w:rsidR="00CD0FDF" w:rsidRPr="00CE3BC2" w:rsidRDefault="0016420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="002801A8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1576889A" w14:textId="276CAA59" w:rsidR="00CD0FDF" w:rsidRPr="00164200" w:rsidRDefault="00976BC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 xml:space="preserve">Skierowanie projektu do zdiagnozowanych </w:t>
            </w:r>
            <w:r w:rsidRPr="00CE3BC2">
              <w:rPr>
                <w:rFonts w:eastAsia="Calibri" w:cstheme="minorHAnsi"/>
                <w:sz w:val="20"/>
                <w:szCs w:val="20"/>
              </w:rPr>
              <w:br/>
              <w:t xml:space="preserve">w LSR grup </w:t>
            </w:r>
            <w:r w:rsidR="00301130">
              <w:rPr>
                <w:rFonts w:eastAsia="Calibri" w:cstheme="minorHAnsi"/>
                <w:sz w:val="20"/>
                <w:szCs w:val="20"/>
              </w:rPr>
              <w:br/>
            </w:r>
            <w:r w:rsidRPr="00CE3BC2">
              <w:rPr>
                <w:rFonts w:eastAsia="Calibri" w:cstheme="minorHAnsi"/>
                <w:sz w:val="20"/>
                <w:szCs w:val="20"/>
              </w:rPr>
              <w:t>w niekorzystnej sytuacji</w:t>
            </w:r>
          </w:p>
        </w:tc>
        <w:tc>
          <w:tcPr>
            <w:tcW w:w="3905" w:type="dxa"/>
          </w:tcPr>
          <w:p w14:paraId="3E0D8A68" w14:textId="7B060109" w:rsidR="00976BC0" w:rsidRPr="00CE3BC2" w:rsidRDefault="00976BC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Kryterium będzie uznane za spełnione, jeśli realizacja projektu przyczyni się do wsparcia osób z grup znajdujących się w niekorzystnej sytuacji, określonych w LSR.</w:t>
            </w:r>
          </w:p>
          <w:p w14:paraId="28839CC9" w14:textId="77777777" w:rsidR="00976BC0" w:rsidRPr="00CE3BC2" w:rsidRDefault="00976BC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b/>
                <w:bCs/>
                <w:sz w:val="20"/>
                <w:szCs w:val="20"/>
              </w:rPr>
              <w:t>Osoby w niekorzystnej sytuacji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– osoby </w:t>
            </w:r>
          </w:p>
          <w:p w14:paraId="5C229F2A" w14:textId="3062ADEE" w:rsidR="00976BC0" w:rsidRPr="00CE3BC2" w:rsidRDefault="00976BC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 xml:space="preserve">z niepełnosprawnościami oraz ich opiekunowie, kobiety, migranci, rolnicy </w:t>
            </w:r>
            <w:r w:rsidRPr="00CE3BC2">
              <w:rPr>
                <w:rFonts w:eastAsia="Calibri" w:cstheme="minorHAnsi"/>
                <w:sz w:val="20"/>
                <w:szCs w:val="20"/>
              </w:rPr>
              <w:br/>
              <w:t xml:space="preserve">z małych gospodarstw lub osoby poszukujące zatrudnienia np. mieszkańcy osiedli po-PGR. </w:t>
            </w:r>
          </w:p>
          <w:p w14:paraId="7F6345AC" w14:textId="3EC2EC0F" w:rsidR="00CD0FDF" w:rsidRPr="00CE3BC2" w:rsidRDefault="00976BC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b/>
                <w:bCs/>
                <w:sz w:val="20"/>
                <w:szCs w:val="20"/>
              </w:rPr>
              <w:t>Małe gospodarstwo rolne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–za małe gospodarstwo przyjmuje się gospodarstwo, którego powierzchnia jest mniejsza niż 11,42 ha. </w:t>
            </w:r>
          </w:p>
        </w:tc>
        <w:tc>
          <w:tcPr>
            <w:tcW w:w="8222" w:type="dxa"/>
            <w:shd w:val="clear" w:color="auto" w:fill="auto"/>
          </w:tcPr>
          <w:p w14:paraId="1E74CD80" w14:textId="77777777" w:rsidR="00CD0FDF" w:rsidRPr="00CE3BC2" w:rsidRDefault="00CD0FDF" w:rsidP="002801A8">
            <w:pPr>
              <w:spacing w:after="0" w:line="240" w:lineRule="auto"/>
              <w:ind w:right="1216"/>
              <w:rPr>
                <w:rFonts w:eastAsia="Calibri" w:cstheme="minorHAnsi"/>
                <w:b/>
              </w:rPr>
            </w:pPr>
          </w:p>
        </w:tc>
      </w:tr>
      <w:tr w:rsidR="00CD0FDF" w:rsidRPr="00CE3BC2" w14:paraId="06BC42C5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49B974CD" w14:textId="680DBC32" w:rsidR="00CD0FDF" w:rsidRPr="00CE3BC2" w:rsidRDefault="00164200" w:rsidP="002801A8">
            <w:pPr>
              <w:spacing w:after="0" w:line="240" w:lineRule="auto"/>
              <w:ind w:left="67"/>
              <w:contextualSpacing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="002801A8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6AC2C05A" w14:textId="3CF731C9" w:rsidR="00CD0FDF" w:rsidRPr="00CE3BC2" w:rsidRDefault="00976BC0" w:rsidP="002801A8">
            <w:pPr>
              <w:spacing w:after="0" w:line="240" w:lineRule="auto"/>
              <w:ind w:left="34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Zintegrowanie</w:t>
            </w:r>
          </w:p>
        </w:tc>
        <w:tc>
          <w:tcPr>
            <w:tcW w:w="3905" w:type="dxa"/>
          </w:tcPr>
          <w:p w14:paraId="4C5A3268" w14:textId="6CBF6D3E" w:rsidR="00CD0FDF" w:rsidRPr="00F91672" w:rsidRDefault="00976BC0" w:rsidP="00F9167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Kryterium będzie uznane za spełnione, jeśli </w:t>
            </w:r>
            <w:r w:rsidRPr="00CE3BC2">
              <w:rPr>
                <w:rFonts w:cstheme="minorHAnsi"/>
                <w:sz w:val="20"/>
                <w:szCs w:val="20"/>
              </w:rPr>
              <w:br/>
              <w:t xml:space="preserve">w projekcie zostanie wykazana spójność </w:t>
            </w:r>
            <w:r w:rsidRPr="00CE3BC2">
              <w:rPr>
                <w:rFonts w:cstheme="minorHAnsi"/>
                <w:sz w:val="20"/>
                <w:szCs w:val="20"/>
              </w:rPr>
              <w:br/>
              <w:t>z innymi projektami zrealizowanymi na obszarze LSR, które dotyczą różnych dziedzin, tematyk, gospodarki (np. edukacja, zdrowie, kultura, turystyka) i jednocześnie umożliwiają kompleksowe zaspokojenie zdiagnozowanych potrzeb społeczności.</w:t>
            </w:r>
          </w:p>
        </w:tc>
        <w:tc>
          <w:tcPr>
            <w:tcW w:w="8222" w:type="dxa"/>
            <w:shd w:val="clear" w:color="auto" w:fill="auto"/>
          </w:tcPr>
          <w:p w14:paraId="3B4CA755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CD0FDF" w:rsidRPr="00CE3BC2" w14:paraId="5C5D02A1" w14:textId="77777777" w:rsidTr="002801A8">
        <w:trPr>
          <w:trHeight w:val="846"/>
        </w:trPr>
        <w:tc>
          <w:tcPr>
            <w:tcW w:w="567" w:type="dxa"/>
            <w:shd w:val="clear" w:color="auto" w:fill="auto"/>
          </w:tcPr>
          <w:p w14:paraId="7F5A3FB4" w14:textId="13153505" w:rsidR="00CD0FDF" w:rsidRPr="00CE3BC2" w:rsidRDefault="0016420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4</w:t>
            </w:r>
            <w:r w:rsidR="002801A8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46B20B47" w14:textId="77777777" w:rsidR="00CD0FDF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Innowacyjność</w:t>
            </w:r>
          </w:p>
          <w:p w14:paraId="176D2CCE" w14:textId="77777777" w:rsidR="00164200" w:rsidRDefault="0016420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14:paraId="444AC8D0" w14:textId="630FFEF1" w:rsidR="00164200" w:rsidRPr="00CE3BC2" w:rsidRDefault="00164200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2254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Kryterium Rozstrzygające</w:t>
            </w:r>
          </w:p>
        </w:tc>
        <w:tc>
          <w:tcPr>
            <w:tcW w:w="3905" w:type="dxa"/>
          </w:tcPr>
          <w:p w14:paraId="7021E9BD" w14:textId="5A2E57CB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Kryterium będzie uznane za spełnione, jeśli projekt będzie posiadał cechy</w:t>
            </w:r>
            <w:r w:rsidR="00301130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CE3BC2">
              <w:rPr>
                <w:rFonts w:eastAsia="Calibri" w:cstheme="minorHAnsi"/>
                <w:sz w:val="20"/>
                <w:szCs w:val="20"/>
              </w:rPr>
              <w:t>innowacyjności, zgodnie z zasadami określonymi w LSR.</w:t>
            </w:r>
          </w:p>
          <w:p w14:paraId="6010EC19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 xml:space="preserve">Preferuje się projekty innowacyjne. </w:t>
            </w:r>
          </w:p>
          <w:p w14:paraId="043E5F6A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  <w:u w:val="single"/>
              </w:rPr>
              <w:t>Innowacyjność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- to zmiana mająca na celu wdrożenie nowego na obszarze objętym LSR lub znacząco udoskonalonego produktu, usługi, procesu, organizacji lub nowego </w:t>
            </w:r>
            <w:r w:rsidRPr="00CE3BC2">
              <w:rPr>
                <w:rFonts w:eastAsia="Calibri" w:cstheme="minorHAnsi"/>
                <w:sz w:val="20"/>
                <w:szCs w:val="20"/>
              </w:rPr>
              <w:lastRenderedPageBreak/>
              <w:t>sposobu wykorzystania lub zmobilizowania istniejących lokalnych zasobów przyrodniczych, historycznych, kulturowych czy społecznych.</w:t>
            </w:r>
          </w:p>
          <w:p w14:paraId="67DF214C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CE3BC2">
              <w:rPr>
                <w:rFonts w:eastAsia="Calibri" w:cstheme="minorHAnsi"/>
                <w:sz w:val="20"/>
                <w:szCs w:val="20"/>
                <w:u w:val="single"/>
              </w:rPr>
              <w:t>Wdrożenie innowacji będzie obejmować:</w:t>
            </w:r>
          </w:p>
          <w:p w14:paraId="760D5EDC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- zwiększenie funkcjonalności, użyteczności produktów i usług, lub</w:t>
            </w:r>
          </w:p>
          <w:p w14:paraId="79FD2098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- unowocześnienie przestarzałych systemów, lub</w:t>
            </w:r>
          </w:p>
          <w:p w14:paraId="7ED85F07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- udoskonalenie technologii, lub</w:t>
            </w:r>
          </w:p>
          <w:p w14:paraId="4DC27A77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- usprawnienie komunikacji międzyludzkiej, lub</w:t>
            </w:r>
          </w:p>
          <w:p w14:paraId="38E108DD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- optymalizację czasu pracy, lub</w:t>
            </w:r>
          </w:p>
          <w:p w14:paraId="2C1DD3C3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- ochronę środowiska naturalnego.</w:t>
            </w:r>
          </w:p>
          <w:p w14:paraId="0F51B2A4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  <w:u w:val="single"/>
              </w:rPr>
            </w:pPr>
            <w:r w:rsidRPr="00CE3BC2">
              <w:rPr>
                <w:rFonts w:eastAsia="Calibri" w:cstheme="minorHAnsi"/>
                <w:sz w:val="20"/>
                <w:szCs w:val="20"/>
                <w:u w:val="single"/>
              </w:rPr>
              <w:t>Oczekiwany wpływ innowacji na rozwój obszaru LSR to:</w:t>
            </w:r>
          </w:p>
          <w:p w14:paraId="640CCFD0" w14:textId="77777777" w:rsidR="002914AF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Innowacja kreatywna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– powstała w wyniku autorskiego pomysłu, dotyczy nowych na obszarze LSR produktów, usług, procesów lub organizacji (zwiększenie funkcjonalności, użyteczności produktów i usług, unowocześnienie przestarzałych systemów, udoskonalenie technologii, usprawnienie komunikacji międzyludzkiej, optymalizacja czasu pracy, ochrona środowiska naturalnego).</w:t>
            </w:r>
          </w:p>
          <w:p w14:paraId="77CAACCD" w14:textId="77777777" w:rsidR="002914AF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Innowacja imitująca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– wzorowana na wcześniej powstałych produktach, usługach, procesach lub organizacji – obejmuje nowy sposób wykorzystania lub zmobilizowania istniejących lokalnych zasobów przyrodniczych, historycznych, kulturowych czy społecznych.</w:t>
            </w:r>
          </w:p>
          <w:p w14:paraId="0406A71D" w14:textId="4842BC7E" w:rsidR="00CE3BC2" w:rsidRPr="00CE3BC2" w:rsidRDefault="002914AF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b/>
                <w:bCs/>
                <w:sz w:val="20"/>
                <w:szCs w:val="20"/>
                <w:u w:val="single"/>
              </w:rPr>
              <w:t>Innowacja pozorna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– innowacja, która obejmują drobne zmiany oferujące rzekome nowości.</w:t>
            </w:r>
          </w:p>
        </w:tc>
        <w:tc>
          <w:tcPr>
            <w:tcW w:w="8222" w:type="dxa"/>
            <w:shd w:val="clear" w:color="auto" w:fill="auto"/>
          </w:tcPr>
          <w:p w14:paraId="0E45A4F5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20D5FEEE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4CA1C594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7525A5CA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40562D38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45119A7B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4F60320E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386D26F7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4E7CB070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2089A94F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  <w:p w14:paraId="5C30EF66" w14:textId="77777777" w:rsidR="00C208B8" w:rsidRPr="00CE3BC2" w:rsidRDefault="00C208B8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</w:p>
        </w:tc>
      </w:tr>
      <w:tr w:rsidR="00CD0FDF" w:rsidRPr="00CE3BC2" w14:paraId="33BE0625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773ACDE0" w14:textId="043F942D" w:rsidR="00CD0FDF" w:rsidRPr="00CE3BC2" w:rsidRDefault="00D55534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5</w:t>
            </w:r>
            <w:r w:rsidR="00F029ED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5E9C5746" w14:textId="77777777" w:rsidR="00D55534" w:rsidRDefault="00D55534" w:rsidP="00D55534">
            <w:pPr>
              <w:pStyle w:val="Akapitzlist"/>
              <w:spacing w:before="40" w:after="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Tworzenie nowych miejsc pracy </w:t>
            </w:r>
          </w:p>
          <w:p w14:paraId="2ECD0574" w14:textId="77777777" w:rsidR="00D55534" w:rsidRDefault="00D55534" w:rsidP="00D55534">
            <w:pPr>
              <w:pStyle w:val="Akapitzlist"/>
              <w:spacing w:before="40" w:after="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  <w:p w14:paraId="0A56F1A2" w14:textId="77777777" w:rsidR="00D55534" w:rsidRDefault="00D55534" w:rsidP="00D55534">
            <w:pPr>
              <w:pStyle w:val="Akapitzlist"/>
              <w:spacing w:before="40" w:after="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</w:p>
          <w:p w14:paraId="25F90017" w14:textId="1B3BFF4C" w:rsidR="00CD0FDF" w:rsidRPr="00CE3BC2" w:rsidRDefault="00D55534" w:rsidP="00D5553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22542">
              <w:rPr>
                <w:rFonts w:ascii="Calibri" w:hAnsi="Calibri" w:cs="Calibri"/>
                <w:b/>
                <w:bCs/>
                <w:sz w:val="20"/>
                <w:szCs w:val="20"/>
                <w:u w:val="single"/>
              </w:rPr>
              <w:t>- Kryterium Rozstrzygające</w:t>
            </w:r>
          </w:p>
        </w:tc>
        <w:tc>
          <w:tcPr>
            <w:tcW w:w="3905" w:type="dxa"/>
          </w:tcPr>
          <w:p w14:paraId="7B20793E" w14:textId="09EDCCD1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Kryterium będzie uznane za spełnione, jeśli zostanie złożona deklaracja w zakresie utworzenia co najmniej jednego miejsca </w:t>
            </w:r>
            <w:r w:rsidRPr="00A34B9F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pracy w przeliczeniu na pełne etaty średnioroczne poprzez zatrudnienie pracownika(-ów) na podstawie umowy </w:t>
            </w:r>
            <w:r w:rsidR="00301130"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o pracę. Kryterium będzie podlegać weryfikacji na etapie rozliczania projektu </w:t>
            </w:r>
            <w:r w:rsidR="00301130"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i w okresie związania celem. </w:t>
            </w:r>
          </w:p>
          <w:p w14:paraId="27D837EF" w14:textId="3EEAF0EB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Preferuje się operacje zakładające tworzenie nowych miejsc pracy w ciągu całego okresu związania celem. </w:t>
            </w:r>
          </w:p>
          <w:p w14:paraId="2CE6A1C5" w14:textId="77777777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Do wyliczeń stosuje się metodę RJR (Rocznych Jednostek Roboczych). </w:t>
            </w:r>
          </w:p>
          <w:p w14:paraId="26D8C328" w14:textId="1129699A" w:rsidR="00D55534" w:rsidRPr="00A34B9F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Okres związania celem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– okres po wypłacie pomocy, w trakcie którego beneficjent powinien spełniać warunki przyznania </w:t>
            </w:r>
            <w:r w:rsidR="003011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wypłaty pomocy oraz realizować lub zrealizować określone zobowiązania </w:t>
            </w:r>
            <w:r w:rsidR="0030113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ramach danego projektu.</w:t>
            </w:r>
          </w:p>
          <w:p w14:paraId="64C39F09" w14:textId="77777777" w:rsidR="00D55534" w:rsidRPr="00A34B9F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 Wnioskodawcy będącego mikroprzedsiębiorstwem albo małym przedsiębiorstwem; okres związania celem wynosi 3 lata od dnia wypłaty pomocy.</w:t>
            </w:r>
          </w:p>
          <w:p w14:paraId="5C85339E" w14:textId="3AE5A674" w:rsidR="00116A85" w:rsidRPr="00D55534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F0822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 przypadku zawieszenia działalności w tzw. okresie związania celem, realizacja zobowiązania dot. utworzenia 1 miejsca pracy w przeliczeniu na etaty średnioroczne, musi nastąpić nie później niż do dnia upływu 5 lat od dokonania wypłaty pomocy.</w:t>
            </w:r>
            <w:r w:rsidRPr="00A34B9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8222" w:type="dxa"/>
            <w:shd w:val="clear" w:color="auto" w:fill="auto"/>
          </w:tcPr>
          <w:p w14:paraId="7D1A1640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  <w:b/>
              </w:rPr>
            </w:pPr>
            <w:r w:rsidRPr="00CE3BC2">
              <w:rPr>
                <w:rFonts w:eastAsia="Calibri" w:cstheme="minorHAnsi"/>
              </w:rPr>
              <w:lastRenderedPageBreak/>
              <w:br/>
            </w:r>
          </w:p>
          <w:p w14:paraId="6CD49DFE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D55534" w:rsidRPr="00CE3BC2" w14:paraId="2941AC6E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1DFC38F8" w14:textId="036BB146" w:rsidR="00D55534" w:rsidRPr="00CE3BC2" w:rsidRDefault="00D55534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2127" w:type="dxa"/>
            <w:shd w:val="clear" w:color="auto" w:fill="auto"/>
          </w:tcPr>
          <w:p w14:paraId="70225509" w14:textId="7CED8A54" w:rsidR="00D55534" w:rsidRPr="00A34B9F" w:rsidRDefault="00D55534" w:rsidP="00D55534">
            <w:pPr>
              <w:pStyle w:val="Akapitzlist"/>
              <w:spacing w:before="40" w:after="0" w:line="240" w:lineRule="auto"/>
              <w:ind w:left="0"/>
              <w:contextualSpacing w:val="0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Doświadczenie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</w:tcPr>
          <w:p w14:paraId="68119722" w14:textId="77777777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bCs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Kryterium będzie uznane za spełnione, jeśli 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>Wnioskodawca udokumentował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:</w:t>
            </w: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05DFD151" w14:textId="77777777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t xml:space="preserve">- </w:t>
            </w:r>
            <w:r w:rsidRPr="00A34B9F">
              <w:rPr>
                <w:rFonts w:ascii="Calibri" w:hAnsi="Calibri" w:cs="Calibri"/>
                <w:sz w:val="20"/>
                <w:szCs w:val="20"/>
              </w:rPr>
              <w:t xml:space="preserve">realizację projektów finansowanych ze środków publicznych w zakresie pokrewnym do realizowanego projektu </w:t>
            </w:r>
          </w:p>
          <w:p w14:paraId="766DBB5B" w14:textId="77777777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lub </w:t>
            </w:r>
          </w:p>
          <w:p w14:paraId="6AB99555" w14:textId="7CC5017A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 xml:space="preserve">- posiadanie kwalifikacji lub doświadczenia </w:t>
            </w:r>
            <w:r w:rsidR="00301130">
              <w:rPr>
                <w:rFonts w:ascii="Calibri" w:hAnsi="Calibri" w:cs="Calibri"/>
                <w:sz w:val="20"/>
                <w:szCs w:val="20"/>
              </w:rPr>
              <w:br/>
            </w:r>
            <w:r w:rsidRPr="00A34B9F">
              <w:rPr>
                <w:rFonts w:ascii="Calibri" w:hAnsi="Calibri" w:cs="Calibri"/>
                <w:sz w:val="20"/>
                <w:szCs w:val="20"/>
              </w:rPr>
              <w:t>w zakresie działalności / aktywności pokrewnej do działalności / aktywności będącej przedmiotem projektu.</w:t>
            </w:r>
          </w:p>
          <w:p w14:paraId="6CA2C0B5" w14:textId="4459070B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A34B9F"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 xml:space="preserve">Celem jest zwiększenie szans na realizację projektu i utrzymanie jego efektów w okresie trwałości (jeśli dotyczy). </w:t>
            </w:r>
          </w:p>
          <w:p w14:paraId="70253D64" w14:textId="77777777" w:rsidR="00D55534" w:rsidRPr="00A34B9F" w:rsidRDefault="00D55534" w:rsidP="00D55534">
            <w:pPr>
              <w:spacing w:after="0" w:line="240" w:lineRule="auto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8222" w:type="dxa"/>
            <w:shd w:val="clear" w:color="auto" w:fill="auto"/>
          </w:tcPr>
          <w:p w14:paraId="5FB120BC" w14:textId="77777777" w:rsidR="00D55534" w:rsidRPr="00CE3BC2" w:rsidRDefault="00D55534" w:rsidP="002801A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D0FDF" w:rsidRPr="00CE3BC2" w14:paraId="5EAD6468" w14:textId="77777777" w:rsidTr="002801A8">
        <w:trPr>
          <w:trHeight w:val="1632"/>
        </w:trPr>
        <w:tc>
          <w:tcPr>
            <w:tcW w:w="567" w:type="dxa"/>
            <w:shd w:val="clear" w:color="auto" w:fill="auto"/>
          </w:tcPr>
          <w:p w14:paraId="1BFE9070" w14:textId="34F1D32E" w:rsidR="00CD0FDF" w:rsidRPr="00CE3BC2" w:rsidRDefault="00D55534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7</w:t>
            </w:r>
            <w:r w:rsidR="00F029ED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7E2788D7" w14:textId="77777777" w:rsidR="009C2F72" w:rsidRPr="00CE3BC2" w:rsidRDefault="009C2F72" w:rsidP="002801A8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Aktywne uczestnictwo </w:t>
            </w:r>
          </w:p>
          <w:p w14:paraId="0C3A744E" w14:textId="6683FA38" w:rsidR="00CD0FDF" w:rsidRPr="00CE3BC2" w:rsidRDefault="009C2F72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>w działaniach LGD</w:t>
            </w:r>
            <w:r w:rsidRPr="00CE3BC2">
              <w:rPr>
                <w:rFonts w:eastAsia="Calibr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905" w:type="dxa"/>
          </w:tcPr>
          <w:p w14:paraId="55CC2AF3" w14:textId="77777777" w:rsidR="009C2F72" w:rsidRPr="00CE3BC2" w:rsidRDefault="009C2F72" w:rsidP="00280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Kryterium będzie uznane za spełnione, jeśli </w:t>
            </w:r>
          </w:p>
          <w:p w14:paraId="14988A3E" w14:textId="5D775BE5" w:rsidR="009C2F72" w:rsidRPr="00CE3BC2" w:rsidRDefault="009C2F72" w:rsidP="00280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z dokumentów zgormadzonych w LGD, </w:t>
            </w:r>
            <w:r w:rsidRPr="00CE3BC2">
              <w:rPr>
                <w:rFonts w:cstheme="minorHAnsi"/>
                <w:sz w:val="20"/>
                <w:szCs w:val="20"/>
              </w:rPr>
              <w:br/>
              <w:t xml:space="preserve">w tym: </w:t>
            </w:r>
          </w:p>
          <w:p w14:paraId="3AFC1775" w14:textId="7E5FA027" w:rsidR="009C2F72" w:rsidRPr="00CE3BC2" w:rsidRDefault="009C2F72" w:rsidP="00280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>- list obecności na warsztatach / szkoleniach / spotkaniach/ wydarzeniach dot. danego naboru lub</w:t>
            </w:r>
          </w:p>
          <w:p w14:paraId="741CC06A" w14:textId="6E88CE38" w:rsidR="009C2F72" w:rsidRPr="00CE3BC2" w:rsidRDefault="009C2F72" w:rsidP="00280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>- rejestru indywidualnego doradztwa / kart doradztwa) dot. danego naboru, lub</w:t>
            </w:r>
          </w:p>
          <w:p w14:paraId="0E0E8557" w14:textId="19B20505" w:rsidR="009C2F72" w:rsidRPr="00CE3BC2" w:rsidRDefault="009C2F72" w:rsidP="00280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- list obecności na wydarzeniach w ramach Planu komunikacji zorganizowanych przez LGD nie później niż w okresie 2 lat poprzedzających ogłoszenie naboru, </w:t>
            </w:r>
          </w:p>
          <w:p w14:paraId="398C8C75" w14:textId="04DD722B" w:rsidR="00116A85" w:rsidRPr="00F91672" w:rsidRDefault="009C2F72" w:rsidP="002801A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będzie wynikać fakt uczestnictwa </w:t>
            </w:r>
            <w:r w:rsidRPr="00CE3BC2">
              <w:rPr>
                <w:rFonts w:cstheme="minorHAnsi"/>
                <w:sz w:val="20"/>
                <w:szCs w:val="20"/>
              </w:rPr>
              <w:br/>
              <w:t>w działaniach LGD.</w:t>
            </w:r>
          </w:p>
        </w:tc>
        <w:tc>
          <w:tcPr>
            <w:tcW w:w="8222" w:type="dxa"/>
            <w:shd w:val="clear" w:color="auto" w:fill="auto"/>
          </w:tcPr>
          <w:p w14:paraId="5FF54037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</w:rPr>
            </w:pPr>
            <w:r w:rsidRPr="00CE3BC2">
              <w:rPr>
                <w:rFonts w:eastAsia="Calibri" w:cstheme="minorHAnsi"/>
              </w:rPr>
              <w:br/>
            </w:r>
          </w:p>
        </w:tc>
      </w:tr>
      <w:tr w:rsidR="00D55534" w:rsidRPr="00CE3BC2" w14:paraId="7B38E479" w14:textId="77777777" w:rsidTr="002801A8">
        <w:trPr>
          <w:trHeight w:val="1632"/>
        </w:trPr>
        <w:tc>
          <w:tcPr>
            <w:tcW w:w="567" w:type="dxa"/>
            <w:shd w:val="clear" w:color="auto" w:fill="auto"/>
          </w:tcPr>
          <w:p w14:paraId="692DCCEC" w14:textId="6F875EFC" w:rsidR="00D55534" w:rsidRDefault="00D55534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14:paraId="1D1B591F" w14:textId="27DF6C39" w:rsidR="00D55534" w:rsidRPr="00CE3BC2" w:rsidRDefault="00D55534" w:rsidP="002801A8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5D3374">
              <w:rPr>
                <w:rFonts w:ascii="Calibri" w:hAnsi="Calibri" w:cs="Calibri"/>
                <w:sz w:val="20"/>
                <w:szCs w:val="20"/>
              </w:rPr>
              <w:t>Wkład własny</w:t>
            </w:r>
          </w:p>
        </w:tc>
        <w:tc>
          <w:tcPr>
            <w:tcW w:w="3905" w:type="dxa"/>
          </w:tcPr>
          <w:p w14:paraId="59E50105" w14:textId="77777777" w:rsidR="00D55534" w:rsidRPr="005D3374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337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Kryterium będzie uznane za spełnione, jeśli wkład własny został zadeklarowany na poziomie wyższym niż minimalny, tj. przekraczającym intensywność pomocy określoną w Wytycznych szczegółowych</w:t>
            </w:r>
            <w:r w:rsidRPr="005D3374">
              <w:rPr>
                <w:rStyle w:val="Odwoanieprzypisudolnego"/>
                <w:rFonts w:ascii="Calibri" w:eastAsia="Times New Roman" w:hAnsi="Calibri" w:cs="Calibri"/>
                <w:sz w:val="20"/>
                <w:szCs w:val="20"/>
                <w:lang w:eastAsia="pl-PL"/>
              </w:rPr>
              <w:footnoteReference w:id="1"/>
            </w:r>
            <w:r w:rsidRPr="005D337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. </w:t>
            </w:r>
          </w:p>
          <w:p w14:paraId="41650006" w14:textId="77777777" w:rsidR="00D55534" w:rsidRPr="005D3374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D337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Celem jest promowanie projektów w mniejszym stopniu angażujących środki finansowe LSR.</w:t>
            </w:r>
          </w:p>
          <w:p w14:paraId="5ABEAC89" w14:textId="3AC8195C" w:rsidR="00D55534" w:rsidRPr="008C54D6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4D6">
              <w:rPr>
                <w:rFonts w:ascii="Calibri" w:eastAsia="Times New Roman" w:hAnsi="Calibri" w:cs="Calibri"/>
                <w:sz w:val="20"/>
                <w:szCs w:val="20"/>
                <w:u w:val="single"/>
                <w:lang w:eastAsia="pl-PL"/>
              </w:rPr>
              <w:t>Maksymalna intensywność pomocy</w:t>
            </w:r>
            <w:r w:rsidRPr="008C54D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określona w Wytycznych szczegółowych:</w:t>
            </w:r>
          </w:p>
          <w:p w14:paraId="5FEDF31D" w14:textId="2854224E" w:rsidR="00D55534" w:rsidRPr="008C54D6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C54D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1) do 65% kosztów kwalifikowalnych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C54D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w przypadku projektów obejmujących inwestycje produkcyjne innych niż dot. rozwoju pozarolniczych funkcji małych gospodarstw rolnych,</w:t>
            </w:r>
          </w:p>
          <w:p w14:paraId="3D36B681" w14:textId="783BA81D" w:rsidR="00D55534" w:rsidRPr="00D55534" w:rsidRDefault="00D55534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2</w:t>
            </w:r>
            <w:r w:rsidRPr="008C54D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do 85% kosztów kwalifikowalnych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C54D6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– w zakresach dot. rozwoju pozarolniczych funkcji małych gospodarstw rolnych</w:t>
            </w:r>
          </w:p>
        </w:tc>
        <w:tc>
          <w:tcPr>
            <w:tcW w:w="8222" w:type="dxa"/>
            <w:shd w:val="clear" w:color="auto" w:fill="auto"/>
          </w:tcPr>
          <w:p w14:paraId="77044E33" w14:textId="77777777" w:rsidR="00D55534" w:rsidRPr="00CE3BC2" w:rsidRDefault="00D55534" w:rsidP="002801A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5499E" w:rsidRPr="00CE3BC2" w14:paraId="036F9CFC" w14:textId="77777777" w:rsidTr="002801A8">
        <w:trPr>
          <w:trHeight w:val="1632"/>
        </w:trPr>
        <w:tc>
          <w:tcPr>
            <w:tcW w:w="567" w:type="dxa"/>
            <w:shd w:val="clear" w:color="auto" w:fill="auto"/>
          </w:tcPr>
          <w:p w14:paraId="4B677A83" w14:textId="75258282" w:rsidR="0095499E" w:rsidRDefault="0095499E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auto"/>
          </w:tcPr>
          <w:p w14:paraId="5BD3DE83" w14:textId="0076AAC2" w:rsidR="0095499E" w:rsidRPr="005D3374" w:rsidRDefault="0095499E" w:rsidP="002801A8">
            <w:pPr>
              <w:spacing w:before="40" w:after="40"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A34B9F">
              <w:rPr>
                <w:rFonts w:ascii="Calibri" w:hAnsi="Calibri" w:cs="Calibri"/>
                <w:sz w:val="20"/>
                <w:szCs w:val="20"/>
              </w:rPr>
              <w:t>Termin realizacji projektu</w:t>
            </w:r>
          </w:p>
        </w:tc>
        <w:tc>
          <w:tcPr>
            <w:tcW w:w="3905" w:type="dxa"/>
          </w:tcPr>
          <w:p w14:paraId="7B2AF834" w14:textId="13FBDB60" w:rsidR="0095499E" w:rsidRPr="00845C55" w:rsidRDefault="0095499E" w:rsidP="0095499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C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Kryterium będzie uznane za spełnione, jeśli termin zakończenia realizacji projektu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</w:r>
            <w:r w:rsidRPr="00845C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 złożenia wniosku o płatność końcową będzie krótszy niż </w:t>
            </w:r>
            <w:r w:rsidRPr="00845C55">
              <w:rPr>
                <w:rFonts w:ascii="Calibri" w:hAnsi="Calibri" w:cs="Calibri"/>
                <w:sz w:val="20"/>
                <w:szCs w:val="20"/>
              </w:rPr>
              <w:t>2 lata od dnia zawarcia umowy o przyznaniu pomocy.</w:t>
            </w:r>
            <w:r w:rsidRPr="00845C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14:paraId="6A0C2925" w14:textId="5739E081" w:rsidR="0095499E" w:rsidRPr="005D3374" w:rsidRDefault="0095499E" w:rsidP="00D55534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845C5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Celem jest zapewnienie właściwego tempa realizacji LSR i osiągniecie kamieni milowych w ramach LSR.</w:t>
            </w:r>
          </w:p>
        </w:tc>
        <w:tc>
          <w:tcPr>
            <w:tcW w:w="8222" w:type="dxa"/>
            <w:shd w:val="clear" w:color="auto" w:fill="auto"/>
          </w:tcPr>
          <w:p w14:paraId="6F935D4F" w14:textId="77777777" w:rsidR="0095499E" w:rsidRPr="00CE3BC2" w:rsidRDefault="0095499E" w:rsidP="002801A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D0FDF" w:rsidRPr="00CE3BC2" w14:paraId="11CEE541" w14:textId="77777777" w:rsidTr="002801A8">
        <w:trPr>
          <w:trHeight w:val="65"/>
        </w:trPr>
        <w:tc>
          <w:tcPr>
            <w:tcW w:w="567" w:type="dxa"/>
            <w:shd w:val="clear" w:color="auto" w:fill="auto"/>
          </w:tcPr>
          <w:p w14:paraId="3CF1CF3C" w14:textId="6D9E3FE2" w:rsidR="00CD0FDF" w:rsidRPr="00CE3BC2" w:rsidRDefault="0095499E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10</w:t>
            </w:r>
            <w:r w:rsidR="00F029ED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2127" w:type="dxa"/>
            <w:shd w:val="clear" w:color="auto" w:fill="auto"/>
          </w:tcPr>
          <w:p w14:paraId="23A80864" w14:textId="174862B9" w:rsidR="00CD0FDF" w:rsidRPr="00CE3BC2" w:rsidRDefault="009C2F72" w:rsidP="002801A8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eastAsia="Calibri" w:cstheme="minorHAnsi"/>
                <w:sz w:val="20"/>
                <w:szCs w:val="20"/>
              </w:rPr>
              <w:t>Promocja LGD</w:t>
            </w:r>
          </w:p>
        </w:tc>
        <w:tc>
          <w:tcPr>
            <w:tcW w:w="3905" w:type="dxa"/>
          </w:tcPr>
          <w:p w14:paraId="2D0C8E44" w14:textId="77777777" w:rsidR="009C2F72" w:rsidRPr="00CE3BC2" w:rsidRDefault="009C2F72" w:rsidP="002801A8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Kryterium ma na celu wzmocnienie rozpoznawalności oraz pozytywnego wizerunku LGD wśród mieszkańców obszaru jako animatora lokalnej społeczności oraz operatora funduszy europejskich. </w:t>
            </w:r>
          </w:p>
          <w:p w14:paraId="475F861B" w14:textId="25B6A1D1" w:rsidR="00CD0FDF" w:rsidRPr="00F91672" w:rsidRDefault="009C2F72" w:rsidP="00F91672">
            <w:pPr>
              <w:spacing w:before="40" w:after="4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Kryterium preferuje wnioskodawców, którzy zaplanowali upowszechnianie informacji dotyczącej realizacji projektu zgodnie </w:t>
            </w:r>
            <w:r w:rsidRPr="00CE3BC2">
              <w:rPr>
                <w:rFonts w:cstheme="minorHAnsi"/>
                <w:sz w:val="20"/>
                <w:szCs w:val="20"/>
              </w:rPr>
              <w:br/>
              <w:t>z Księgą wizualizacji logo Planu Strategicznego dla Wspólnej Polityki Rolnej na lata 2023-2027″, w której zawarte są podstawowe zobowiązania w zakresie informowania o otrzymanej pomocy z Unii Europejskiej, w tym z EFRROW.</w:t>
            </w:r>
          </w:p>
        </w:tc>
        <w:tc>
          <w:tcPr>
            <w:tcW w:w="8222" w:type="dxa"/>
            <w:shd w:val="clear" w:color="auto" w:fill="auto"/>
          </w:tcPr>
          <w:p w14:paraId="36A8A362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</w:rPr>
            </w:pPr>
          </w:p>
          <w:p w14:paraId="7E90BDD1" w14:textId="77777777" w:rsidR="00CD0FDF" w:rsidRPr="00CE3BC2" w:rsidRDefault="00CD0FDF" w:rsidP="002801A8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95499E" w:rsidRPr="00CE3BC2" w14:paraId="01F38608" w14:textId="77777777" w:rsidTr="00F029ED">
        <w:trPr>
          <w:trHeight w:val="65"/>
        </w:trPr>
        <w:tc>
          <w:tcPr>
            <w:tcW w:w="567" w:type="dxa"/>
            <w:shd w:val="clear" w:color="auto" w:fill="auto"/>
          </w:tcPr>
          <w:p w14:paraId="5B102E94" w14:textId="4F0281ED" w:rsidR="0095499E" w:rsidRPr="00CE3BC2" w:rsidRDefault="0095499E" w:rsidP="0095499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14:paraId="40A01025" w14:textId="77777777" w:rsidR="0095499E" w:rsidRPr="00CE3BC2" w:rsidRDefault="0095499E" w:rsidP="0030113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Poprawność </w:t>
            </w:r>
            <w:r w:rsidRPr="00CE3BC2">
              <w:rPr>
                <w:rFonts w:cstheme="minorHAnsi"/>
                <w:sz w:val="20"/>
                <w:szCs w:val="20"/>
              </w:rPr>
              <w:br/>
              <w:t>i kompletność</w:t>
            </w:r>
          </w:p>
          <w:p w14:paraId="71D04418" w14:textId="57983B93" w:rsidR="0095499E" w:rsidRPr="00CE3BC2" w:rsidRDefault="0095499E" w:rsidP="0095499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>dokumentacji dotyczącej projektu</w:t>
            </w:r>
          </w:p>
        </w:tc>
        <w:tc>
          <w:tcPr>
            <w:tcW w:w="3905" w:type="dxa"/>
          </w:tcPr>
          <w:p w14:paraId="063251F8" w14:textId="3E4E9D65" w:rsidR="0095499E" w:rsidRPr="00CE3BC2" w:rsidRDefault="0095499E" w:rsidP="009549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Kryterium będzie uznane za spełnione, jeśli bez wezwania do usunięcia braków lub poprawy oczywistych omyłek </w:t>
            </w:r>
            <w:r w:rsidR="00301130">
              <w:rPr>
                <w:rFonts w:cstheme="minorHAnsi"/>
                <w:sz w:val="20"/>
                <w:szCs w:val="20"/>
              </w:rPr>
              <w:br/>
            </w:r>
            <w:r w:rsidRPr="00CE3BC2">
              <w:rPr>
                <w:rFonts w:cstheme="minorHAnsi"/>
                <w:sz w:val="20"/>
                <w:szCs w:val="20"/>
              </w:rPr>
              <w:t xml:space="preserve">w dokumentacji dotyczącej projektu, możliwe będzie dokonanie przez LGD oceny </w:t>
            </w:r>
          </w:p>
          <w:p w14:paraId="3DF47459" w14:textId="537F4938" w:rsidR="0095499E" w:rsidRPr="00F91672" w:rsidRDefault="0095499E" w:rsidP="0095499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E3BC2">
              <w:rPr>
                <w:rFonts w:cstheme="minorHAnsi"/>
                <w:sz w:val="20"/>
                <w:szCs w:val="20"/>
              </w:rPr>
              <w:t xml:space="preserve">i wyboru projektu. </w:t>
            </w:r>
          </w:p>
        </w:tc>
        <w:tc>
          <w:tcPr>
            <w:tcW w:w="8222" w:type="dxa"/>
            <w:shd w:val="clear" w:color="auto" w:fill="auto"/>
          </w:tcPr>
          <w:p w14:paraId="66205897" w14:textId="77777777" w:rsidR="0095499E" w:rsidRPr="00CE3BC2" w:rsidRDefault="0095499E" w:rsidP="0095499E">
            <w:pPr>
              <w:spacing w:after="0" w:line="240" w:lineRule="auto"/>
              <w:rPr>
                <w:rFonts w:eastAsia="Calibri" w:cstheme="minorHAnsi"/>
              </w:rPr>
            </w:pPr>
          </w:p>
        </w:tc>
      </w:tr>
      <w:tr w:rsidR="00CE3BC2" w:rsidRPr="00CE3BC2" w14:paraId="78C4D74C" w14:textId="77777777" w:rsidTr="00F029ED">
        <w:trPr>
          <w:trHeight w:val="694"/>
        </w:trPr>
        <w:tc>
          <w:tcPr>
            <w:tcW w:w="14821" w:type="dxa"/>
            <w:gridSpan w:val="4"/>
            <w:shd w:val="clear" w:color="auto" w:fill="CCC0D9" w:themeFill="accent4" w:themeFillTint="66"/>
          </w:tcPr>
          <w:p w14:paraId="0C3F7053" w14:textId="1276D78B" w:rsidR="00CE3BC2" w:rsidRPr="00CE3BC2" w:rsidRDefault="00CE3BC2" w:rsidP="00396199">
            <w:pPr>
              <w:spacing w:after="0" w:line="240" w:lineRule="auto"/>
              <w:jc w:val="both"/>
              <w:rPr>
                <w:rFonts w:eastAsia="Calibri" w:cstheme="minorHAnsi"/>
                <w:bCs/>
              </w:rPr>
            </w:pPr>
            <w:r w:rsidRPr="00CE3BC2">
              <w:rPr>
                <w:rFonts w:eastAsia="Calibri" w:cstheme="minorHAnsi"/>
                <w:bCs/>
              </w:rPr>
              <w:t xml:space="preserve">W przypadku operacji, które uzyskają taką samą liczbę punktów, o kolejności przysługiwania pomocy (kolejności na liście rankingowej) decydować będą kryteria rozstrzygające zgodnie z regulaminem naboru tj.: większa liczba pkt. uzyskanych w pierwszej kolejności w kryterium nr </w:t>
            </w:r>
            <w:r w:rsidR="0095499E">
              <w:rPr>
                <w:rFonts w:eastAsia="Calibri" w:cstheme="minorHAnsi"/>
                <w:b/>
              </w:rPr>
              <w:t>4</w:t>
            </w:r>
            <w:r w:rsidRPr="00396199">
              <w:rPr>
                <w:rFonts w:eastAsia="Calibri" w:cstheme="minorHAnsi"/>
                <w:b/>
              </w:rPr>
              <w:t xml:space="preserve">. </w:t>
            </w:r>
            <w:r w:rsidR="0095499E">
              <w:rPr>
                <w:rFonts w:eastAsia="Calibri" w:cstheme="minorHAnsi"/>
                <w:b/>
              </w:rPr>
              <w:t>Innowacyjność</w:t>
            </w:r>
            <w:r w:rsidRPr="00CE3BC2">
              <w:rPr>
                <w:rFonts w:eastAsia="Calibri" w:cstheme="minorHAnsi"/>
                <w:bCs/>
              </w:rPr>
              <w:t xml:space="preserve">. Jeżeli liczba punktów nadal będzie taka sama, o kolejności przysługiwania pomocy (kolejności na liście rankingowej) zadecyduje kryterium nr </w:t>
            </w:r>
            <w:r w:rsidR="0095499E">
              <w:rPr>
                <w:rFonts w:eastAsia="Calibri" w:cstheme="minorHAnsi"/>
                <w:b/>
              </w:rPr>
              <w:t>5</w:t>
            </w:r>
            <w:r w:rsidRPr="00396199">
              <w:rPr>
                <w:rFonts w:eastAsia="Calibri" w:cstheme="minorHAnsi"/>
                <w:b/>
              </w:rPr>
              <w:t xml:space="preserve">. </w:t>
            </w:r>
            <w:r w:rsidR="0095499E">
              <w:rPr>
                <w:rFonts w:eastAsia="Calibri" w:cstheme="minorHAnsi"/>
                <w:b/>
              </w:rPr>
              <w:t>Tworzenie nowych miejsc pracy</w:t>
            </w:r>
            <w:r w:rsidRPr="00CE3BC2">
              <w:rPr>
                <w:rFonts w:eastAsia="Calibri" w:cstheme="minorHAnsi"/>
                <w:bCs/>
              </w:rPr>
              <w:t>. Jeśli liczba punktów w drugim kryterium rozstrzygającym nadal będzie taka sama o kolejności przysługiwania pomocy (kolejności na liście) zadecyduje data i godzina złożenia wniosku w systemie IT.</w:t>
            </w:r>
          </w:p>
        </w:tc>
      </w:tr>
    </w:tbl>
    <w:p w14:paraId="60ED4AFF" w14:textId="77777777" w:rsidR="0052383E" w:rsidRPr="00CE3BC2" w:rsidRDefault="0052383E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A630EBA" w14:textId="77777777" w:rsidR="00824E1D" w:rsidRPr="00CE3BC2" w:rsidRDefault="00824E1D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538B33D" w14:textId="77777777" w:rsidR="00824E1D" w:rsidRPr="00CE3BC2" w:rsidRDefault="00824E1D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B40F172" w14:textId="58BA4985" w:rsidR="001C05E9" w:rsidRPr="00CE3BC2" w:rsidRDefault="00F029ED" w:rsidP="001C05E9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1C05E9" w:rsidRPr="00CE3BC2">
        <w:rPr>
          <w:rFonts w:cstheme="minorHAnsi"/>
          <w:sz w:val="24"/>
          <w:szCs w:val="24"/>
        </w:rPr>
        <w:t xml:space="preserve">…………………..........                                                          </w:t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A0606D" w:rsidRPr="00CE3BC2">
        <w:rPr>
          <w:rFonts w:cstheme="minorHAnsi"/>
          <w:sz w:val="24"/>
          <w:szCs w:val="24"/>
        </w:rPr>
        <w:tab/>
      </w:r>
      <w:r w:rsidR="001C05E9" w:rsidRPr="00CE3BC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</w:t>
      </w:r>
      <w:r w:rsidR="001C05E9" w:rsidRPr="00CE3BC2">
        <w:rPr>
          <w:rFonts w:cstheme="minorHAnsi"/>
          <w:sz w:val="24"/>
          <w:szCs w:val="24"/>
        </w:rPr>
        <w:t>………………………..</w:t>
      </w:r>
    </w:p>
    <w:p w14:paraId="29C8846A" w14:textId="0F3F3689" w:rsidR="00460BCA" w:rsidRPr="00356E05" w:rsidRDefault="001C05E9" w:rsidP="00460BCA">
      <w:pPr>
        <w:spacing w:line="240" w:lineRule="auto"/>
        <w:jc w:val="both"/>
        <w:rPr>
          <w:rFonts w:cstheme="minorHAnsi"/>
          <w:sz w:val="16"/>
          <w:szCs w:val="16"/>
        </w:rPr>
      </w:pPr>
      <w:r w:rsidRPr="00CE3BC2">
        <w:rPr>
          <w:rFonts w:cstheme="minorHAnsi"/>
          <w:sz w:val="16"/>
          <w:szCs w:val="16"/>
        </w:rPr>
        <w:t xml:space="preserve">            /miejscowość, data/                                                                                                                            </w:t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A0606D" w:rsidRPr="00CE3BC2">
        <w:rPr>
          <w:rFonts w:cstheme="minorHAnsi"/>
          <w:sz w:val="16"/>
          <w:szCs w:val="16"/>
        </w:rPr>
        <w:tab/>
      </w:r>
      <w:r w:rsidR="00F029ED">
        <w:rPr>
          <w:rFonts w:cstheme="minorHAnsi"/>
          <w:sz w:val="16"/>
          <w:szCs w:val="16"/>
        </w:rPr>
        <w:t xml:space="preserve">       </w:t>
      </w:r>
      <w:r w:rsidR="00F029ED">
        <w:rPr>
          <w:rFonts w:cstheme="minorHAnsi"/>
          <w:sz w:val="16"/>
          <w:szCs w:val="16"/>
        </w:rPr>
        <w:tab/>
      </w:r>
      <w:r w:rsidR="00F029ED">
        <w:rPr>
          <w:rFonts w:cstheme="minorHAnsi"/>
          <w:sz w:val="16"/>
          <w:szCs w:val="16"/>
        </w:rPr>
        <w:tab/>
      </w:r>
      <w:r w:rsidR="00F029ED">
        <w:rPr>
          <w:rFonts w:cstheme="minorHAnsi"/>
          <w:sz w:val="16"/>
          <w:szCs w:val="16"/>
        </w:rPr>
        <w:tab/>
      </w:r>
      <w:r w:rsidRPr="00CE3BC2">
        <w:rPr>
          <w:rFonts w:cstheme="minorHAnsi"/>
          <w:sz w:val="16"/>
          <w:szCs w:val="16"/>
        </w:rPr>
        <w:t>/podpis/</w:t>
      </w:r>
    </w:p>
    <w:sectPr w:rsidR="00460BCA" w:rsidRPr="00356E05" w:rsidSect="00B854CA">
      <w:headerReference w:type="default" r:id="rId8"/>
      <w:footnotePr>
        <w:numFmt w:val="chicago"/>
      </w:footnotePr>
      <w:type w:val="continuous"/>
      <w:pgSz w:w="16838" w:h="11906" w:orient="landscape"/>
      <w:pgMar w:top="1417" w:right="1981" w:bottom="426" w:left="851" w:header="284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97BF18" w14:textId="77777777" w:rsidR="00431F3F" w:rsidRDefault="00431F3F" w:rsidP="00A96EA5">
      <w:pPr>
        <w:spacing w:after="0" w:line="240" w:lineRule="auto"/>
      </w:pPr>
      <w:r>
        <w:separator/>
      </w:r>
    </w:p>
  </w:endnote>
  <w:endnote w:type="continuationSeparator" w:id="0">
    <w:p w14:paraId="77E715F6" w14:textId="77777777" w:rsidR="00431F3F" w:rsidRDefault="00431F3F" w:rsidP="00A96E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7CAC85" w14:textId="77777777" w:rsidR="00431F3F" w:rsidRDefault="00431F3F" w:rsidP="00A96EA5">
      <w:pPr>
        <w:spacing w:after="0" w:line="240" w:lineRule="auto"/>
      </w:pPr>
      <w:r>
        <w:separator/>
      </w:r>
    </w:p>
  </w:footnote>
  <w:footnote w:type="continuationSeparator" w:id="0">
    <w:p w14:paraId="73E90910" w14:textId="77777777" w:rsidR="00431F3F" w:rsidRDefault="00431F3F" w:rsidP="00A96EA5">
      <w:pPr>
        <w:spacing w:after="0" w:line="240" w:lineRule="auto"/>
      </w:pPr>
      <w:r>
        <w:continuationSeparator/>
      </w:r>
    </w:p>
  </w:footnote>
  <w:footnote w:id="1">
    <w:p w14:paraId="48886EFA" w14:textId="77777777" w:rsidR="00D55534" w:rsidRDefault="00D55534" w:rsidP="00D5553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E6046">
        <w:t>Wytyczne szczegółowe w zakresie przyznawania i wypłaty pomocy finansowej w ramach Planu Strategicznego dla Wspólnej Polityki Rolnej na lata 2023–2027 dla interwencji I.13.1 LEADER/Rozwój Lokalny Kierowany przez Społeczność (RLKS);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8B440" w14:textId="3AEEEE70" w:rsidR="00116A85" w:rsidRPr="004B0DD4" w:rsidRDefault="004B0DD4" w:rsidP="00976BC0">
    <w:pPr>
      <w:pStyle w:val="Nagwek"/>
      <w:jc w:val="center"/>
    </w:pPr>
    <w:r>
      <w:rPr>
        <w:noProof/>
      </w:rPr>
      <w:drawing>
        <wp:inline distT="0" distB="0" distL="0" distR="0" wp14:anchorId="2A0201C6" wp14:editId="7AF5DBEA">
          <wp:extent cx="6485318" cy="920915"/>
          <wp:effectExtent l="0" t="0" r="0" b="0"/>
          <wp:docPr id="4907805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0780544" name="Obraz 49078054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5318" cy="920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D98"/>
    <w:multiLevelType w:val="hybridMultilevel"/>
    <w:tmpl w:val="0088D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437B5"/>
    <w:multiLevelType w:val="hybridMultilevel"/>
    <w:tmpl w:val="9348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83D36"/>
    <w:multiLevelType w:val="multilevel"/>
    <w:tmpl w:val="25DEF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EE380C"/>
    <w:multiLevelType w:val="hybridMultilevel"/>
    <w:tmpl w:val="2F8C85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2805DB"/>
    <w:multiLevelType w:val="hybridMultilevel"/>
    <w:tmpl w:val="39DC13F4"/>
    <w:lvl w:ilvl="0" w:tplc="21B0B8BC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B15225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F3FBF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82178"/>
    <w:multiLevelType w:val="multilevel"/>
    <w:tmpl w:val="3E247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1E6932"/>
    <w:multiLevelType w:val="hybridMultilevel"/>
    <w:tmpl w:val="B04E0E0A"/>
    <w:lvl w:ilvl="0" w:tplc="EA2EAF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4C76DA"/>
    <w:multiLevelType w:val="hybridMultilevel"/>
    <w:tmpl w:val="74E62F9E"/>
    <w:lvl w:ilvl="0" w:tplc="DE481C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C5932AA"/>
    <w:multiLevelType w:val="hybridMultilevel"/>
    <w:tmpl w:val="D9169D90"/>
    <w:lvl w:ilvl="0" w:tplc="EF2C0F8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477C7E"/>
    <w:multiLevelType w:val="hybridMultilevel"/>
    <w:tmpl w:val="637AB3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929DC"/>
    <w:multiLevelType w:val="hybridMultilevel"/>
    <w:tmpl w:val="5C5003C0"/>
    <w:lvl w:ilvl="0" w:tplc="17D0FAE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9F7463"/>
    <w:multiLevelType w:val="hybridMultilevel"/>
    <w:tmpl w:val="9348B5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A0961"/>
    <w:multiLevelType w:val="hybridMultilevel"/>
    <w:tmpl w:val="D8B42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3373A"/>
    <w:multiLevelType w:val="hybridMultilevel"/>
    <w:tmpl w:val="C71E51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FE250B1"/>
    <w:multiLevelType w:val="hybridMultilevel"/>
    <w:tmpl w:val="DA36CF52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79743">
    <w:abstractNumId w:val="7"/>
  </w:num>
  <w:num w:numId="2" w16cid:durableId="835460733">
    <w:abstractNumId w:val="8"/>
  </w:num>
  <w:num w:numId="3" w16cid:durableId="520050832">
    <w:abstractNumId w:val="10"/>
  </w:num>
  <w:num w:numId="4" w16cid:durableId="691566810">
    <w:abstractNumId w:val="13"/>
  </w:num>
  <w:num w:numId="5" w16cid:durableId="1814979183">
    <w:abstractNumId w:val="9"/>
  </w:num>
  <w:num w:numId="6" w16cid:durableId="1314260201">
    <w:abstractNumId w:val="2"/>
  </w:num>
  <w:num w:numId="7" w16cid:durableId="1117220302">
    <w:abstractNumId w:val="1"/>
  </w:num>
  <w:num w:numId="8" w16cid:durableId="950473570">
    <w:abstractNumId w:val="0"/>
  </w:num>
  <w:num w:numId="9" w16cid:durableId="999114733">
    <w:abstractNumId w:val="3"/>
  </w:num>
  <w:num w:numId="10" w16cid:durableId="364215684">
    <w:abstractNumId w:val="5"/>
  </w:num>
  <w:num w:numId="11" w16cid:durableId="1681850513">
    <w:abstractNumId w:val="6"/>
  </w:num>
  <w:num w:numId="12" w16cid:durableId="491485189">
    <w:abstractNumId w:val="12"/>
  </w:num>
  <w:num w:numId="13" w16cid:durableId="1686059529">
    <w:abstractNumId w:val="16"/>
  </w:num>
  <w:num w:numId="14" w16cid:durableId="875772177">
    <w:abstractNumId w:val="14"/>
  </w:num>
  <w:num w:numId="15" w16cid:durableId="1505050597">
    <w:abstractNumId w:val="15"/>
  </w:num>
  <w:num w:numId="16" w16cid:durableId="614823282">
    <w:abstractNumId w:val="11"/>
  </w:num>
  <w:num w:numId="17" w16cid:durableId="606809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FF"/>
    <w:rsid w:val="000146B5"/>
    <w:rsid w:val="000177DC"/>
    <w:rsid w:val="00021EA7"/>
    <w:rsid w:val="0004628D"/>
    <w:rsid w:val="00055148"/>
    <w:rsid w:val="000560D0"/>
    <w:rsid w:val="000774B3"/>
    <w:rsid w:val="00096121"/>
    <w:rsid w:val="000A60D7"/>
    <w:rsid w:val="000B5995"/>
    <w:rsid w:val="000C09F8"/>
    <w:rsid w:val="000E4D1C"/>
    <w:rsid w:val="00107C02"/>
    <w:rsid w:val="00116A85"/>
    <w:rsid w:val="001360A3"/>
    <w:rsid w:val="00142BA3"/>
    <w:rsid w:val="0014528F"/>
    <w:rsid w:val="001457DE"/>
    <w:rsid w:val="0015529E"/>
    <w:rsid w:val="00164200"/>
    <w:rsid w:val="001C05E9"/>
    <w:rsid w:val="001D69E7"/>
    <w:rsid w:val="001E3E23"/>
    <w:rsid w:val="001F5404"/>
    <w:rsid w:val="001F5896"/>
    <w:rsid w:val="00202CE7"/>
    <w:rsid w:val="00207E5D"/>
    <w:rsid w:val="002258FF"/>
    <w:rsid w:val="00262E8C"/>
    <w:rsid w:val="00271919"/>
    <w:rsid w:val="002801A8"/>
    <w:rsid w:val="0028123C"/>
    <w:rsid w:val="002914AF"/>
    <w:rsid w:val="0029331A"/>
    <w:rsid w:val="002A4C9F"/>
    <w:rsid w:val="002C2D39"/>
    <w:rsid w:val="002C5E44"/>
    <w:rsid w:val="002E16FC"/>
    <w:rsid w:val="00301130"/>
    <w:rsid w:val="00315799"/>
    <w:rsid w:val="003444C9"/>
    <w:rsid w:val="00356E05"/>
    <w:rsid w:val="0037475E"/>
    <w:rsid w:val="003756F6"/>
    <w:rsid w:val="00375F28"/>
    <w:rsid w:val="00394844"/>
    <w:rsid w:val="00396199"/>
    <w:rsid w:val="003B2372"/>
    <w:rsid w:val="003B3D5C"/>
    <w:rsid w:val="003D54A6"/>
    <w:rsid w:val="003E00AB"/>
    <w:rsid w:val="003E3838"/>
    <w:rsid w:val="003F38EF"/>
    <w:rsid w:val="003F7F01"/>
    <w:rsid w:val="00402F64"/>
    <w:rsid w:val="004248AF"/>
    <w:rsid w:val="00431F3F"/>
    <w:rsid w:val="004429BE"/>
    <w:rsid w:val="0044780D"/>
    <w:rsid w:val="00454627"/>
    <w:rsid w:val="00460BCA"/>
    <w:rsid w:val="00463225"/>
    <w:rsid w:val="00485E67"/>
    <w:rsid w:val="0048617A"/>
    <w:rsid w:val="004B0DD4"/>
    <w:rsid w:val="004C2C16"/>
    <w:rsid w:val="004E364B"/>
    <w:rsid w:val="004E5F98"/>
    <w:rsid w:val="00505C36"/>
    <w:rsid w:val="0052383E"/>
    <w:rsid w:val="0058334F"/>
    <w:rsid w:val="0059187C"/>
    <w:rsid w:val="00592927"/>
    <w:rsid w:val="005A6BE1"/>
    <w:rsid w:val="005B115B"/>
    <w:rsid w:val="005B3705"/>
    <w:rsid w:val="005B3A93"/>
    <w:rsid w:val="005B3B49"/>
    <w:rsid w:val="005C0DA8"/>
    <w:rsid w:val="005D0242"/>
    <w:rsid w:val="005E4EE0"/>
    <w:rsid w:val="005E7EF0"/>
    <w:rsid w:val="005F341A"/>
    <w:rsid w:val="006024DE"/>
    <w:rsid w:val="006025A7"/>
    <w:rsid w:val="006236E7"/>
    <w:rsid w:val="00632B9E"/>
    <w:rsid w:val="0063788F"/>
    <w:rsid w:val="00653AED"/>
    <w:rsid w:val="00680C6B"/>
    <w:rsid w:val="00683092"/>
    <w:rsid w:val="00687D00"/>
    <w:rsid w:val="00692CE0"/>
    <w:rsid w:val="006932EB"/>
    <w:rsid w:val="006970CA"/>
    <w:rsid w:val="006A56C0"/>
    <w:rsid w:val="006C3F0A"/>
    <w:rsid w:val="006D4005"/>
    <w:rsid w:val="006E0031"/>
    <w:rsid w:val="006F070F"/>
    <w:rsid w:val="006F0AD6"/>
    <w:rsid w:val="006F2503"/>
    <w:rsid w:val="00717F29"/>
    <w:rsid w:val="007205FB"/>
    <w:rsid w:val="00746C02"/>
    <w:rsid w:val="00762A09"/>
    <w:rsid w:val="0076616D"/>
    <w:rsid w:val="00773381"/>
    <w:rsid w:val="0078271A"/>
    <w:rsid w:val="0078552C"/>
    <w:rsid w:val="00785D3E"/>
    <w:rsid w:val="00795450"/>
    <w:rsid w:val="007B0EDA"/>
    <w:rsid w:val="007C5150"/>
    <w:rsid w:val="008002A6"/>
    <w:rsid w:val="00803577"/>
    <w:rsid w:val="00824E1D"/>
    <w:rsid w:val="008268DC"/>
    <w:rsid w:val="00834F9C"/>
    <w:rsid w:val="0084749D"/>
    <w:rsid w:val="00873509"/>
    <w:rsid w:val="00874E14"/>
    <w:rsid w:val="008979FC"/>
    <w:rsid w:val="008A55CB"/>
    <w:rsid w:val="008C3F9A"/>
    <w:rsid w:val="008D2797"/>
    <w:rsid w:val="008D7B2F"/>
    <w:rsid w:val="008E2CD7"/>
    <w:rsid w:val="008E6B26"/>
    <w:rsid w:val="00910377"/>
    <w:rsid w:val="00914DB9"/>
    <w:rsid w:val="00920AAA"/>
    <w:rsid w:val="00920B67"/>
    <w:rsid w:val="009240C1"/>
    <w:rsid w:val="00930879"/>
    <w:rsid w:val="0093127E"/>
    <w:rsid w:val="009342C9"/>
    <w:rsid w:val="0093461C"/>
    <w:rsid w:val="00942577"/>
    <w:rsid w:val="00942A52"/>
    <w:rsid w:val="00945C4A"/>
    <w:rsid w:val="0095499E"/>
    <w:rsid w:val="009703EC"/>
    <w:rsid w:val="0097257E"/>
    <w:rsid w:val="00975903"/>
    <w:rsid w:val="00976BC0"/>
    <w:rsid w:val="00997CED"/>
    <w:rsid w:val="009A5CB5"/>
    <w:rsid w:val="009C2F72"/>
    <w:rsid w:val="009C48DF"/>
    <w:rsid w:val="009E3314"/>
    <w:rsid w:val="00A0606D"/>
    <w:rsid w:val="00A17546"/>
    <w:rsid w:val="00A308A3"/>
    <w:rsid w:val="00A4197A"/>
    <w:rsid w:val="00A547D4"/>
    <w:rsid w:val="00A55886"/>
    <w:rsid w:val="00A6664D"/>
    <w:rsid w:val="00A6679C"/>
    <w:rsid w:val="00A77048"/>
    <w:rsid w:val="00A8309B"/>
    <w:rsid w:val="00A91027"/>
    <w:rsid w:val="00A96EA5"/>
    <w:rsid w:val="00AA1851"/>
    <w:rsid w:val="00AB1BC7"/>
    <w:rsid w:val="00AE6A3C"/>
    <w:rsid w:val="00B214EE"/>
    <w:rsid w:val="00B5150F"/>
    <w:rsid w:val="00B53F3A"/>
    <w:rsid w:val="00B704DE"/>
    <w:rsid w:val="00B711B2"/>
    <w:rsid w:val="00B7361C"/>
    <w:rsid w:val="00B83E04"/>
    <w:rsid w:val="00B854CA"/>
    <w:rsid w:val="00B9021D"/>
    <w:rsid w:val="00B974A4"/>
    <w:rsid w:val="00BE1D32"/>
    <w:rsid w:val="00C208B8"/>
    <w:rsid w:val="00C23E55"/>
    <w:rsid w:val="00C376E0"/>
    <w:rsid w:val="00C709C3"/>
    <w:rsid w:val="00C729DB"/>
    <w:rsid w:val="00C7711C"/>
    <w:rsid w:val="00C91FE1"/>
    <w:rsid w:val="00CD0FDF"/>
    <w:rsid w:val="00CE0DA3"/>
    <w:rsid w:val="00CE360F"/>
    <w:rsid w:val="00CE3BC2"/>
    <w:rsid w:val="00D00E7B"/>
    <w:rsid w:val="00D16574"/>
    <w:rsid w:val="00D307E8"/>
    <w:rsid w:val="00D31225"/>
    <w:rsid w:val="00D50BDC"/>
    <w:rsid w:val="00D5399C"/>
    <w:rsid w:val="00D55534"/>
    <w:rsid w:val="00D63FC1"/>
    <w:rsid w:val="00D66371"/>
    <w:rsid w:val="00D84F50"/>
    <w:rsid w:val="00DB1A81"/>
    <w:rsid w:val="00DB2BC9"/>
    <w:rsid w:val="00DB4DCD"/>
    <w:rsid w:val="00DD3493"/>
    <w:rsid w:val="00DD4BB8"/>
    <w:rsid w:val="00DF213A"/>
    <w:rsid w:val="00DF403E"/>
    <w:rsid w:val="00E27374"/>
    <w:rsid w:val="00E3573B"/>
    <w:rsid w:val="00E510EF"/>
    <w:rsid w:val="00E54318"/>
    <w:rsid w:val="00E629C2"/>
    <w:rsid w:val="00E70BE7"/>
    <w:rsid w:val="00E814DE"/>
    <w:rsid w:val="00ED3B6D"/>
    <w:rsid w:val="00ED4F1F"/>
    <w:rsid w:val="00ED5549"/>
    <w:rsid w:val="00EF2212"/>
    <w:rsid w:val="00F029ED"/>
    <w:rsid w:val="00F03CF0"/>
    <w:rsid w:val="00F15096"/>
    <w:rsid w:val="00F15DDE"/>
    <w:rsid w:val="00F16418"/>
    <w:rsid w:val="00F22CB0"/>
    <w:rsid w:val="00F23526"/>
    <w:rsid w:val="00F33CE6"/>
    <w:rsid w:val="00F42F6E"/>
    <w:rsid w:val="00F51CB4"/>
    <w:rsid w:val="00F5278E"/>
    <w:rsid w:val="00F91672"/>
    <w:rsid w:val="00F942A8"/>
    <w:rsid w:val="00FA52F4"/>
    <w:rsid w:val="00FB004F"/>
    <w:rsid w:val="00FB032D"/>
    <w:rsid w:val="00FC3B0B"/>
    <w:rsid w:val="00FC4E76"/>
    <w:rsid w:val="00FC59DE"/>
    <w:rsid w:val="00FC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3C09D"/>
  <w15:docId w15:val="{E32CFF59-C688-4F52-89F2-1ED1093F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28F"/>
  </w:style>
  <w:style w:type="paragraph" w:styleId="Nagwek3">
    <w:name w:val="heading 3"/>
    <w:basedOn w:val="Normalny"/>
    <w:link w:val="Nagwek3Znak"/>
    <w:uiPriority w:val="1"/>
    <w:qFormat/>
    <w:rsid w:val="00F5278E"/>
    <w:pPr>
      <w:widowControl w:val="0"/>
      <w:spacing w:after="0" w:line="240" w:lineRule="auto"/>
      <w:ind w:left="218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EA5"/>
  </w:style>
  <w:style w:type="paragraph" w:styleId="Stopka">
    <w:name w:val="footer"/>
    <w:basedOn w:val="Normalny"/>
    <w:link w:val="StopkaZnak"/>
    <w:uiPriority w:val="99"/>
    <w:unhideWhenUsed/>
    <w:rsid w:val="00A96E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EA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6EA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6E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6EA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14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4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814DE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E814D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0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021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F7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444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44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44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44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44C9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1"/>
    <w:rsid w:val="00F5278E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5278E"/>
    <w:pPr>
      <w:widowControl w:val="0"/>
      <w:spacing w:after="0" w:line="240" w:lineRule="auto"/>
      <w:ind w:left="762" w:hanging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5278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5yl5">
    <w:name w:val="_5yl5"/>
    <w:basedOn w:val="Domylnaczcionkaakapitu"/>
    <w:rsid w:val="00F03CF0"/>
  </w:style>
  <w:style w:type="paragraph" w:styleId="Bezodstpw">
    <w:name w:val="No Spacing"/>
    <w:uiPriority w:val="1"/>
    <w:qFormat/>
    <w:rsid w:val="00F42F6E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1C05E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970CA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976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0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4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36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12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93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50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7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45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3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DDAE-2AF8-4C91-B181-D203CDDD4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6</Pages>
  <Words>1295</Words>
  <Characters>7774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Bazler</dc:creator>
  <cp:lastModifiedBy>LGD Zapilicze</cp:lastModifiedBy>
  <cp:revision>19</cp:revision>
  <cp:lastPrinted>2017-03-31T09:17:00Z</cp:lastPrinted>
  <dcterms:created xsi:type="dcterms:W3CDTF">2024-12-27T11:48:00Z</dcterms:created>
  <dcterms:modified xsi:type="dcterms:W3CDTF">2025-03-19T10:12:00Z</dcterms:modified>
</cp:coreProperties>
</file>